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16B6B76" w14:textId="77777777">
        <w:trPr>
          <w:trHeight w:val="852"/>
        </w:trPr>
        <w:tc>
          <w:tcPr>
            <w:tcW w:w="4253" w:type="dxa"/>
            <w:gridSpan w:val="2"/>
          </w:tcPr>
          <w:p w14:paraId="36B6E4B6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2170FB60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066862E0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А.В. Кашлач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DA5EC69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3558FB18" w14:textId="77777777">
        <w:trPr>
          <w:trHeight w:val="447"/>
        </w:trPr>
        <w:tc>
          <w:tcPr>
            <w:tcW w:w="2977" w:type="dxa"/>
          </w:tcPr>
          <w:p w14:paraId="61065652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87A8A3" wp14:editId="7C5D5FC2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2FA112" wp14:editId="2F42F24D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65647BE" wp14:editId="270B20B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4B2A7A6E" w14:textId="3EDDA71E" w:rsidR="003D77EE" w:rsidRDefault="00BF224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B0F4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37A7A45B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A59EDD" w14:textId="77777777" w:rsidR="003D77EE" w:rsidRDefault="003D77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C4147" w14:textId="157D8F6D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1" w:name="РегистрационныйНомер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1"/>
      <w:r w:rsidR="00CD7030">
        <w:rPr>
          <w:rFonts w:ascii="Times New Roman" w:hAnsi="Times New Roman"/>
          <w:b/>
          <w:sz w:val="24"/>
          <w:szCs w:val="24"/>
        </w:rPr>
        <w:t>17(В)</w:t>
      </w:r>
    </w:p>
    <w:p w14:paraId="6BF11516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3F4F7429" w14:textId="77777777">
        <w:tc>
          <w:tcPr>
            <w:tcW w:w="14560" w:type="dxa"/>
          </w:tcPr>
          <w:p w14:paraId="1AC2D41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2CA3F9A7" w14:textId="77777777">
        <w:tc>
          <w:tcPr>
            <w:tcW w:w="14560" w:type="dxa"/>
          </w:tcPr>
          <w:p w14:paraId="662821C2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2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Многоквартирный жилой дом, расположенный по адресу: ул. Восход, г. Салехард, ЯНАО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3D77EE" w14:paraId="762CB6A2" w14:textId="77777777">
        <w:tc>
          <w:tcPr>
            <w:tcW w:w="14560" w:type="dxa"/>
          </w:tcPr>
          <w:p w14:paraId="29AD3DE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149CC76C" w14:textId="77777777">
        <w:tc>
          <w:tcPr>
            <w:tcW w:w="14560" w:type="dxa"/>
          </w:tcPr>
          <w:p w14:paraId="2C675E63" w14:textId="77777777" w:rsidR="003D77EE" w:rsidRDefault="00BF224D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bookmarkStart w:id="3" w:name="Содержание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Установка окон и противопожарных перегородок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3"/>
          </w:p>
        </w:tc>
      </w:tr>
      <w:tr w:rsidR="003D77EE" w14:paraId="24B4169C" w14:textId="77777777">
        <w:tc>
          <w:tcPr>
            <w:tcW w:w="14560" w:type="dxa"/>
          </w:tcPr>
          <w:p w14:paraId="5D9B2A5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06833709" w14:textId="77777777">
        <w:tc>
          <w:tcPr>
            <w:tcW w:w="14560" w:type="dxa"/>
          </w:tcPr>
          <w:p w14:paraId="2BD431B2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4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г.Салехард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4"/>
          </w:p>
        </w:tc>
      </w:tr>
      <w:tr w:rsidR="003D77EE" w14:paraId="09512BB6" w14:textId="77777777">
        <w:tc>
          <w:tcPr>
            <w:tcW w:w="14560" w:type="dxa"/>
          </w:tcPr>
          <w:p w14:paraId="72E2FE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3A0791AB" w14:textId="77777777">
        <w:tc>
          <w:tcPr>
            <w:tcW w:w="14560" w:type="dxa"/>
          </w:tcPr>
          <w:p w14:paraId="0A06982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0103155B" w14:textId="77777777">
        <w:tc>
          <w:tcPr>
            <w:tcW w:w="14560" w:type="dxa"/>
          </w:tcPr>
          <w:p w14:paraId="4F6C18DF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A71484A" w14:textId="77777777">
        <w:tc>
          <w:tcPr>
            <w:tcW w:w="14560" w:type="dxa"/>
          </w:tcPr>
          <w:p w14:paraId="6E56FE93" w14:textId="29008295" w:rsidR="003D77EE" w:rsidRDefault="00E52C9B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08.06.2026 – 30.11.2026</w:t>
            </w:r>
          </w:p>
        </w:tc>
      </w:tr>
      <w:tr w:rsidR="003D77EE" w14:paraId="18EE386C" w14:textId="77777777">
        <w:tc>
          <w:tcPr>
            <w:tcW w:w="14560" w:type="dxa"/>
          </w:tcPr>
          <w:p w14:paraId="06EEF9B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7B3A8B44" w14:textId="77777777">
        <w:tc>
          <w:tcPr>
            <w:tcW w:w="14560" w:type="dxa"/>
          </w:tcPr>
          <w:p w14:paraId="05F74C6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103B8116" w14:textId="77777777">
        <w:tc>
          <w:tcPr>
            <w:tcW w:w="14560" w:type="dxa"/>
          </w:tcPr>
          <w:p w14:paraId="0FFDA1F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3C9B0F4F" w14:textId="77777777">
        <w:tc>
          <w:tcPr>
            <w:tcW w:w="14560" w:type="dxa"/>
          </w:tcPr>
          <w:p w14:paraId="55D3E23D" w14:textId="77777777" w:rsidR="003D77EE" w:rsidRDefault="00BF224D">
            <w:pPr>
              <w:ind w:left="7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5C6A698E" w14:textId="77777777">
        <w:tc>
          <w:tcPr>
            <w:tcW w:w="14560" w:type="dxa"/>
          </w:tcPr>
          <w:p w14:paraId="23A718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218C7F52" w14:textId="77777777">
        <w:tc>
          <w:tcPr>
            <w:tcW w:w="14560" w:type="dxa"/>
          </w:tcPr>
          <w:p w14:paraId="79605C13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00B94FE6" w14:textId="1E807615" w:rsidR="003D77EE" w:rsidRDefault="00BF224D" w:rsidP="00C620BD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</w:t>
            </w:r>
            <w:r w:rsidR="00E52C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2C9B" w:rsidRPr="00E52C9B">
              <w:rPr>
                <w:rFonts w:ascii="Times New Roman" w:hAnsi="Times New Roman"/>
                <w:sz w:val="24"/>
                <w:szCs w:val="24"/>
                <w:u w:val="single"/>
              </w:rPr>
              <w:t>2 - 3 человека (в зависимости от потребности и скорости выполнения работ, предусмотреть увеличение численностью рабочих по требованию Заказчика);</w:t>
            </w:r>
          </w:p>
          <w:p w14:paraId="3AB558ED" w14:textId="7389B38B" w:rsidR="00C620BD" w:rsidRPr="00333538" w:rsidRDefault="00BF224D" w:rsidP="00333538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620BD">
              <w:rPr>
                <w:rFonts w:ascii="Times New Roman" w:hAnsi="Times New Roman"/>
                <w:sz w:val="24"/>
                <w:szCs w:val="24"/>
              </w:rPr>
              <w:t>Тpебoвaния к квaлификaции paбoтникoв (группы допуска, аттестация работников и тд):</w:t>
            </w:r>
            <w:r w:rsidR="00C620BD" w:rsidRPr="00C62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>- возраст работников от 18 лет</w:t>
            </w:r>
            <w:r w:rsidR="0033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; 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>- пройденный медицинский осмотр</w:t>
            </w:r>
            <w:r w:rsidR="0033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; 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>- наличие группы по электробезопасности</w:t>
            </w:r>
            <w:r w:rsidR="0033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; 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>- Работники, выполняющие работы на высоте, должны иметь квалификацию, соответствующую характеру выполняемых работ. Уровень квалификации подтверждается документом о профессиональном образовании (обучении) и (или) о квалификации</w:t>
            </w:r>
            <w:r w:rsidR="0033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; 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>- Обучение по охране труда – программа Б, СИЗ, Первая помощь, программа В</w:t>
            </w:r>
            <w:r w:rsidR="0033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; 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>- Сварочные работы должны производиться аттестованным персоналом, имеющим удостоверение на право производства сварочных работ</w:t>
            </w:r>
            <w:r w:rsidR="0033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; 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>- наличие группы по электробезопасности</w:t>
            </w:r>
            <w:r w:rsidR="0033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; 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>- для ИТР на строительной площадке – программа А, программа Б, обучение применения СИЗ, Первая помощь, программа В, пожарная безопасность</w:t>
            </w:r>
            <w:r w:rsidR="00D91BFA">
              <w:rPr>
                <w:rFonts w:ascii="Times New Roman" w:hAnsi="Times New Roman"/>
                <w:sz w:val="24"/>
                <w:szCs w:val="24"/>
                <w:u w:val="single"/>
              </w:rPr>
              <w:t>;</w:t>
            </w:r>
          </w:p>
          <w:p w14:paraId="51D0D09C" w14:textId="39D29B45" w:rsidR="00C620BD" w:rsidRDefault="00BF224D" w:rsidP="00333538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деятельности (</w:t>
            </w:r>
            <w:r w:rsidR="00C620BD">
              <w:rPr>
                <w:rFonts w:ascii="Times New Roman" w:hAnsi="Times New Roman"/>
                <w:sz w:val="24"/>
                <w:szCs w:val="24"/>
              </w:rPr>
              <w:t xml:space="preserve">в случае необходимости): 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>лицензии МЧС</w:t>
            </w:r>
            <w:r w:rsidR="0033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>подтверждающ</w:t>
            </w:r>
            <w:r w:rsidR="00333538">
              <w:rPr>
                <w:rFonts w:ascii="Times New Roman" w:hAnsi="Times New Roman"/>
                <w:sz w:val="24"/>
                <w:szCs w:val="24"/>
                <w:u w:val="single"/>
              </w:rPr>
              <w:t>ая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право на проведение работ</w:t>
            </w:r>
            <w:r w:rsidR="0033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333538" w:rsidRPr="00333538">
              <w:rPr>
                <w:rFonts w:ascii="Times New Roman" w:hAnsi="Times New Roman"/>
                <w:sz w:val="24"/>
                <w:szCs w:val="24"/>
                <w:u w:val="single"/>
              </w:rPr>
              <w:t>по монтажу средств обеспечения пожарной безопасности</w:t>
            </w:r>
            <w:r w:rsidR="00333538">
              <w:rPr>
                <w:rFonts w:ascii="Times New Roman" w:hAnsi="Times New Roman"/>
                <w:sz w:val="24"/>
                <w:szCs w:val="24"/>
                <w:u w:val="single"/>
              </w:rPr>
              <w:t>;</w:t>
            </w:r>
          </w:p>
          <w:p w14:paraId="1A3D3FAF" w14:textId="5093DC7B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Проживание: </w:t>
            </w:r>
            <w:r w:rsidR="00C620BD">
              <w:rPr>
                <w:rFonts w:ascii="Times New Roman" w:hAnsi="Times New Roman"/>
                <w:sz w:val="24"/>
                <w:szCs w:val="24"/>
                <w:u w:val="single"/>
              </w:rPr>
              <w:t>за свой счет;</w:t>
            </w:r>
          </w:p>
          <w:p w14:paraId="3AC0D84B" w14:textId="724D3241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Питание: </w:t>
            </w:r>
            <w:r w:rsidR="00C620BD">
              <w:rPr>
                <w:rFonts w:ascii="Times New Roman" w:hAnsi="Times New Roman"/>
                <w:sz w:val="24"/>
                <w:szCs w:val="24"/>
                <w:u w:val="single"/>
              </w:rPr>
              <w:t>за свой счет;</w:t>
            </w:r>
          </w:p>
          <w:p w14:paraId="1336862C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2DC6000E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строительном объекте в момент выполнения работ должен постоянно находится ИТР (мастер, прораб) организации, производящей работы и геодезист. Допускается совмещение ИТР и геодезиста в одном лице.</w:t>
            </w:r>
          </w:p>
          <w:p w14:paraId="1FFCEA29" w14:textId="1562B55B" w:rsidR="003D77EE" w:rsidRDefault="00BF224D">
            <w:pPr>
              <w:pStyle w:val="afb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Материалы: </w:t>
            </w:r>
            <w:r w:rsidR="00C620BD" w:rsidRPr="00BA7854">
              <w:rPr>
                <w:rFonts w:ascii="Times New Roman" w:hAnsi="Times New Roman"/>
                <w:sz w:val="24"/>
                <w:szCs w:val="24"/>
                <w:u w:val="single"/>
              </w:rPr>
              <w:t>материал поставки подрядчика</w:t>
            </w:r>
            <w:r w:rsidR="00C620B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Обязательно наличие паспортов/сертификатов качества на применяемый материал. </w:t>
            </w:r>
          </w:p>
          <w:p w14:paraId="44AFEEE7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выполняемых работ необходимо предоставить комплекты исполнительно-технической документации (ИТД) в 4-х экземплярах в бумажном виде, также в электронном виде в формате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в редактируемых форматах ms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ИТД выполняется на основании фактически выполненных работ исполнителем.</w:t>
            </w:r>
          </w:p>
          <w:p w14:paraId="2C6CDCC0" w14:textId="77777777" w:rsidR="003D77EE" w:rsidRDefault="003D7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5D7A8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08318F04" w14:textId="77777777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Ведомость объемов работ – на 1 л. </w:t>
            </w:r>
          </w:p>
          <w:p w14:paraId="3599BC30" w14:textId="77777777" w:rsidR="00D82478" w:rsidRDefault="00BF224D" w:rsidP="00D82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82478">
              <w:rPr>
                <w:rFonts w:ascii="Times New Roman" w:hAnsi="Times New Roman" w:cs="Times New Roman"/>
                <w:sz w:val="24"/>
                <w:szCs w:val="24"/>
              </w:rPr>
              <w:t>ГПР – на 1 л.;</w:t>
            </w:r>
          </w:p>
          <w:p w14:paraId="65D54F7C" w14:textId="77777777" w:rsidR="00D82478" w:rsidRDefault="00D82478" w:rsidP="00D82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Реестр ИТД – на 1 л.;</w:t>
            </w:r>
          </w:p>
          <w:p w14:paraId="7048525C" w14:textId="662490BE" w:rsidR="003D77EE" w:rsidRDefault="00D82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Проект </w:t>
            </w:r>
            <w:r w:rsidRPr="00430F21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30F2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430F21">
              <w:rPr>
                <w:rFonts w:ascii="Times New Roman" w:hAnsi="Times New Roman" w:cs="Times New Roman"/>
                <w:sz w:val="24"/>
                <w:szCs w:val="24"/>
              </w:rPr>
              <w:t>4-В-П-АР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25 л.</w:t>
            </w:r>
          </w:p>
        </w:tc>
      </w:tr>
    </w:tbl>
    <w:p w14:paraId="25FD35D9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7BE2D2D0" w14:textId="77777777">
        <w:trPr>
          <w:trHeight w:val="399"/>
          <w:jc w:val="center"/>
        </w:trPr>
        <w:tc>
          <w:tcPr>
            <w:tcW w:w="1938" w:type="dxa"/>
          </w:tcPr>
          <w:p w14:paraId="7E077D20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005836C8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5" w:name="Должность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Ведущий инженер ПТО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2443" w:type="dxa"/>
          </w:tcPr>
          <w:p w14:paraId="533A3766" w14:textId="77777777" w:rsidR="003D77EE" w:rsidRDefault="00BF22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0F2B40A" wp14:editId="29F1E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7B6C2C5A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одго_ПредставлениеВ"/>
                  <w:enabled/>
                  <w:calcOnExit w:val="0"/>
                  <w:textInput>
                    <w:default w:val="Представление в документах"/>
                  </w:textInput>
                </w:ffData>
              </w:fldChar>
            </w:r>
            <w:bookmarkStart w:id="6" w:name="Подго_ПредставлениеВ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М.Д. Ходько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7FEE8149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ДатаРегистрации"/>
                  <w:enabled/>
                  <w:calcOnExit w:val="0"/>
                  <w:textInput>
                    <w:default w:val="Дата регистрации"/>
                  </w:textInput>
                </w:ffData>
              </w:fldChar>
            </w:r>
            <w:bookmarkStart w:id="7" w:name="ДатаРегистрации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7"/>
          </w:p>
        </w:tc>
      </w:tr>
    </w:tbl>
    <w:p w14:paraId="47BE7B29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8FD18" w14:textId="77777777" w:rsidR="000654B3" w:rsidRDefault="000654B3">
      <w:pPr>
        <w:spacing w:after="0" w:line="240" w:lineRule="auto"/>
      </w:pPr>
      <w:r>
        <w:separator/>
      </w:r>
    </w:p>
  </w:endnote>
  <w:endnote w:type="continuationSeparator" w:id="0">
    <w:p w14:paraId="0D9171CD" w14:textId="77777777" w:rsidR="000654B3" w:rsidRDefault="00065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2B893" w14:textId="77777777" w:rsidR="000654B3" w:rsidRDefault="000654B3">
      <w:pPr>
        <w:spacing w:after="0" w:line="240" w:lineRule="auto"/>
      </w:pPr>
      <w:r>
        <w:separator/>
      </w:r>
    </w:p>
  </w:footnote>
  <w:footnote w:type="continuationSeparator" w:id="0">
    <w:p w14:paraId="192D036F" w14:textId="77777777" w:rsidR="000654B3" w:rsidRDefault="00065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EE"/>
    <w:rsid w:val="000654B3"/>
    <w:rsid w:val="00333538"/>
    <w:rsid w:val="003C4773"/>
    <w:rsid w:val="003D77EE"/>
    <w:rsid w:val="006816C7"/>
    <w:rsid w:val="007B0F47"/>
    <w:rsid w:val="00B60A92"/>
    <w:rsid w:val="00BF224D"/>
    <w:rsid w:val="00C620BD"/>
    <w:rsid w:val="00CD7030"/>
    <w:rsid w:val="00D479D8"/>
    <w:rsid w:val="00D82478"/>
    <w:rsid w:val="00D91BFA"/>
    <w:rsid w:val="00E52C9B"/>
    <w:rsid w:val="00E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Ходько Максим Дмитриевич</cp:lastModifiedBy>
  <cp:revision>13</cp:revision>
  <dcterms:created xsi:type="dcterms:W3CDTF">2024-01-30T07:52:00Z</dcterms:created>
  <dcterms:modified xsi:type="dcterms:W3CDTF">2026-02-04T10:18:00Z</dcterms:modified>
</cp:coreProperties>
</file>